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CYBREX Cookie Policy</w:t>
      </w:r>
    </w:p>
    <w:p>
      <w:pPr>
        <w:pStyle w:val="Subtitle"/>
      </w:pPr>
      <w:r>
        <w:t>Cookies browser storage and external services</w:t>
      </w:r>
    </w:p>
    <w:p>
      <w:pPr>
        <w:spacing w:after="60"/>
      </w:pPr>
      <w:r>
        <w:rPr>
          <w:b/>
        </w:rPr>
        <w:t xml:space="preserve">Website </w:t>
      </w:r>
      <w:hyperlink r:id="rId9">
        <w:r>
          <w:rPr>
            <w:color w:val="000000"/>
            <w:u w:val="single"/>
          </w:rPr>
          <w:t>https://cybrex.technology</w:t>
        </w:r>
      </w:hyperlink>
    </w:p>
    <w:p>
      <w:pPr>
        <w:spacing w:after="60"/>
      </w:pPr>
      <w:r>
        <w:rPr>
          <w:b/>
        </w:rPr>
        <w:t xml:space="preserve">Last updated </w:t>
      </w:r>
      <w:r>
        <w:t>6 October 2026</w:t>
      </w:r>
    </w:p>
    <w:p>
      <w:pPr>
        <w:spacing w:after="60"/>
      </w:pPr>
      <w:r>
        <w:rPr>
          <w:b/>
        </w:rPr>
        <w:t xml:space="preserve">Contact </w:t>
      </w:r>
      <w:hyperlink r:id="rId10">
        <w:r>
          <w:rPr>
            <w:color w:val="000000"/>
            <w:u w:val="single"/>
          </w:rPr>
          <w:t>cybrex.technology@gmail.com</w:t>
        </w:r>
      </w:hyperlink>
    </w:p>
    <w:p>
      <w:r>
        <w:t>This Policy explains cookies, browser storage and related technologies on cybrex.technology (the "Website"), their purposes, durations and controls. Read it with the CYBREX Privacy Policy for personal data handling and your rights.</w:t>
      </w:r>
    </w:p>
    <w:p>
      <w:pPr>
        <w:pStyle w:val="Heading1"/>
        <w:pageBreakBefore w:val="0"/>
      </w:pPr>
      <w:r>
        <w:t>1 Website operator</w:t>
      </w:r>
    </w:p>
    <w:p>
      <w:r>
        <w:t xml:space="preserve">CYBREX is a brand used for a pre-launch initiative in the United Arab Emirates. The Website operator is </w:t>
      </w:r>
      <w:commentRangeStart w:id="0"/>
      <w:r>
        <w:rPr>
          <w:b/>
        </w:rPr>
        <w:t>[Website operator legal name]</w:t>
      </w:r>
      <w:commentRangeEnd w:id="0"/>
      <w:r>
        <w:rPr>
          <w:rStyle w:val="CommentReference"/>
        </w:rPr>
        <w:commentReference w:id="0"/>
      </w:r>
      <w:r>
        <w:t xml:space="preserve">, whose location and contact address are </w:t>
      </w:r>
      <w:r>
        <w:rPr>
          <w:b/>
        </w:rPr>
        <w:t>[Operator location and contact address]</w:t>
      </w:r>
      <w:r>
        <w:t>. In this Policy, "we", "us" and "CYBREX" mean that operator.</w:t>
      </w:r>
    </w:p>
    <w:p>
      <w:pPr>
        <w:pStyle w:val="Heading1"/>
        <w:pageBreakBefore w:val="0"/>
      </w:pPr>
      <w:r>
        <w:t>2 Cookies and similar technologies</w:t>
      </w:r>
    </w:p>
    <w:p>
      <w:commentRangeStart w:id="9"/>
      <w:r>
        <w:t xml:space="preserve">Cookies are small pieces of information stored by your browser. First-party cookies relate to the site you are visiting; third-party cookies relate to another site in an embedded or cross-site context. An external provider can operate first-party cookies. Persistent cookies have an expiry period; session cookies follow the browser session.</w:t>
      </w:r>
      <w:commentRangeEnd w:id="9"/>
      <w:r>
        <w:rPr>
          <w:rStyle w:val="CommentReference"/>
        </w:rPr>
        <w:commentReference w:id="9"/>
      </w:r>
    </w:p>
    <w:p>
      <w:r>
        <w:t>Browser storage, including sessionStorage and localStorage, is separate from cookies. Scripts and embedded services can also access device information or send requests to a provider. A request can disclose connection information even when no cookie is set.</w:t>
      </w:r>
    </w:p>
    <w:p>
      <w:pPr>
        <w:pStyle w:val="Heading1"/>
        <w:pageBreakBefore w:val="0"/>
      </w:pPr>
      <w:r>
        <w:t>3 Website cookies and browser storage</w:t>
      </w:r>
    </w:p>
    <w:p>
      <w:commentRangeStart w:id="1"/>
      <w:r>
        <w:t xml:space="preserve">Language and theme features are configured to use the preference cookies below. The Website framework can create the two sessionStorage entries for reload recovery.</w:t>
      </w:r>
      <w:commentRangeEnd w:id="1"/>
      <w:r>
        <w:rPr>
          <w:rStyle w:val="CommentReference"/>
        </w:rPr>
        <w:commentReference w:id="1"/>
      </w:r>
    </w:p>
    <w:tbl>
      <w:tblPr>
        <w:tblW w:type="auto" w:w="0"/>
        <w:jc w:val="left"/>
        <w:tblLayout w:type="fixed"/>
        <w:tblLook w:firstColumn="1" w:firstRow="1" w:lastColumn="0" w:lastRow="0" w:noHBand="0" w:noVBand="1" w:val="04A0"/>
      </w:tblPr>
      <w:tblGrid>
        <w:gridCol w:w="2016"/>
        <w:gridCol w:w="1656"/>
        <w:gridCol w:w="4104"/>
        <w:gridCol w:w="2160"/>
      </w:tblGrid>
      <w:tr>
        <w:trPr>
          <w:cantSplit/>
          <w:tblHeader/>
        </w:trPr>
        <w:tc>
          <w:tcPr>
            <w:tcW w:type="dxa" w:w="248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EAEAEA"/>
          </w:tcPr>
          <w:p>
            <w:pPr>
              <w:spacing w:after="0" w:line="240" w:lineRule="auto"/>
            </w:pPr>
            <w:r>
              <w:rPr>
                <w:rFonts w:ascii="Arial" w:hAnsi="Arial"/>
                <w:b/>
                <w:color w:val="000000"/>
                <w:sz w:val="20"/>
              </w:rPr>
              <w:t>Name or key</w:t>
            </w:r>
          </w:p>
        </w:tc>
        <w:tc>
          <w:tcPr>
            <w:tcW w:type="dxa" w:w="248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EAEAEA"/>
          </w:tcPr>
          <w:p>
            <w:pPr>
              <w:spacing w:after="0" w:line="240" w:lineRule="auto"/>
            </w:pPr>
            <w:r>
              <w:rPr>
                <w:rFonts w:ascii="Arial" w:hAnsi="Arial"/>
                <w:b/>
                <w:color w:val="000000"/>
                <w:sz w:val="20"/>
              </w:rPr>
              <w:t>Type</w:t>
            </w:r>
          </w:p>
        </w:tc>
        <w:tc>
          <w:tcPr>
            <w:tcW w:type="dxa" w:w="248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EAEAEA"/>
          </w:tcPr>
          <w:p>
            <w:pPr>
              <w:spacing w:after="0" w:line="240" w:lineRule="auto"/>
            </w:pPr>
            <w:r>
              <w:rPr>
                <w:rFonts w:ascii="Arial" w:hAnsi="Arial"/>
                <w:b/>
                <w:color w:val="000000"/>
                <w:sz w:val="20"/>
              </w:rPr>
              <w:t>Purpose and activation</w:t>
            </w:r>
          </w:p>
        </w:tc>
        <w:tc>
          <w:tcPr>
            <w:tcW w:type="dxa" w:w="248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EAEAEA"/>
          </w:tcPr>
          <w:p>
            <w:pPr>
              <w:spacing w:after="0" w:line="240" w:lineRule="auto"/>
            </w:pPr>
            <w:r>
              <w:rPr>
                <w:rFonts w:ascii="Arial" w:hAnsi="Arial"/>
                <w:b/>
                <w:color w:val="000000"/>
                <w:sz w:val="20"/>
              </w:rPr>
              <w:t>Configured lifetime</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i18n_locale</w:t>
            </w:r>
          </w:p>
        </w:tc>
        <w:tc>
          <w:tcPr>
            <w:tcW w:type="dxa" w:w="165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Preference cookie</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Remembers the language used by the Website language feature; updated when the locale is set.</w:t>
            </w:r>
          </w:p>
        </w:tc>
        <w:tc>
          <w:tcPr>
            <w:tcW w:type="dxa" w:w="216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Up to 365 days from setting.</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theme</w:t>
            </w:r>
          </w:p>
        </w:tc>
        <w:tc>
          <w:tcPr>
            <w:tcW w:type="dxa" w:w="165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Preference cookie</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Remembers the visual theme; read on initialisation and updated when the theme changes.</w:t>
            </w:r>
          </w:p>
        </w:tc>
        <w:tc>
          <w:tcPr>
            <w:tcW w:type="dxa" w:w="216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Up to 365 days from setting.</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nuxt:reload</w:t>
            </w:r>
          </w:p>
        </w:tc>
        <w:tc>
          <w:tcPr>
            <w:tcW w:type="dxa" w:w="165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sessionStorage</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Records the reload route and an application expiry marker for reload recovery.</w:t>
            </w:r>
          </w:p>
        </w:tc>
        <w:tc>
          <w:tcPr>
            <w:tcW w:type="dxa" w:w="216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Tab page session; may be removed earlier.</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nuxt:reload:state</w:t>
            </w:r>
          </w:p>
        </w:tc>
        <w:tc>
          <w:tcPr>
            <w:tcW w:type="dxa" w:w="165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sessionStorage</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 xml:space="preserve">Stores framework-managed application state for reload restoration when state persistence is enabled.</w:t>
            </w:r>
          </w:p>
        </w:tc>
        <w:tc>
          <w:tcPr>
            <w:tcW w:type="dxa" w:w="216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Tab page session; may be removed earlier.</w:t>
            </w:r>
          </w:p>
        </w:tc>
      </w:tr>
    </w:tbl>
    <w:p>
      <w:pPr>
        <w:spacing w:before="120"/>
      </w:pPr>
      <w:commentRangeStart w:id="2"/>
      <w:r>
        <w:t xml:space="preserve">Updating a cookie can renew its expiry; you can delete it earlier. sessionStorage is scoped to the Website origin and a tab page session, and can survive reloads and restoration. The reload marker's application validity does not determine its storage lifetime.</w:t>
      </w:r>
      <w:commentRangeEnd w:id="2"/>
      <w:r>
        <w:rPr>
          <w:rStyle w:val="CommentReference"/>
        </w:rPr>
        <w:commentReference w:id="2"/>
      </w:r>
    </w:p>
    <w:p>
      <w:commentRangeStart w:id="3"/>
      <w:r>
        <w:t>Additional cookie and storage items, including provider access and any choice records: [Verified additional cookies and storage, or confirmed none].</w:t>
      </w:r>
      <w:commentRangeEnd w:id="3"/>
      <w:r>
        <w:rPr>
          <w:rStyle w:val="CommentReference"/>
        </w:rPr>
        <w:commentReference w:id="3"/>
      </w:r>
    </w:p>
    <w:p>
      <w:pPr>
        <w:pStyle w:val="Heading1"/>
        <w:pageBreakBefore/>
      </w:pPr>
      <w:r>
        <w:t>4 Cloudflare and Google services</w:t>
      </w:r>
    </w:p>
    <w:p>
      <w:pPr>
        <w:pStyle w:val="Heading2"/>
        <w:pageBreakBefore w:val="0"/>
      </w:pPr>
      <w:r>
        <w:t>Cloudflare performance measurement</w:t>
      </w:r>
    </w:p>
    <w:p>
      <w:commentRangeStart w:id="4"/>
      <w:r>
        <w:t>The Website includes a Cloudflare performance beacon for page visits and loading performance. Cloudflare states that its RUM beacon does not read or write cookies, localStorage or sessionStorage, and uses performance information held in memory for the current page. Requests still connect to Cloudflare. This performance service is separate from Cloudflare security checks.</w:t>
      </w:r>
      <w:commentRangeEnd w:id="4"/>
      <w:r>
        <w:rPr>
          <w:rStyle w:val="CommentReference"/>
        </w:rPr>
        <w:commentReference w:id="4"/>
      </w:r>
    </w:p>
    <w:p>
      <w:pPr>
        <w:pStyle w:val="Heading2"/>
        <w:pageBreakBefore w:val="0"/>
      </w:pPr>
      <w:r>
        <w:t>Cloudflare security checks</w:t>
      </w:r>
    </w:p>
    <w:p>
      <w:commentRangeStart w:id="5"/>
      <w:r>
        <w:t xml:space="preserve">Cloudflare security scripts support checks for automated or suspicious traffic. They can involve browser signals, connection information and verification cookies. The storage involved depends on the security feature and configuration. These checks have a different purpose from performance measurement.</w:t>
      </w:r>
      <w:commentRangeEnd w:id="5"/>
      <w:r>
        <w:rPr>
          <w:rStyle w:val="CommentReference"/>
        </w:rPr>
        <w:commentReference w:id="5"/>
      </w:r>
    </w:p>
    <w:p>
      <w:pPr>
        <w:pStyle w:val="Heading2"/>
        <w:pageBreakBefore w:val="0"/>
      </w:pPr>
      <w:r>
        <w:t>Google Maps</w:t>
      </w:r>
    </w:p>
    <w:p>
      <w:commentRangeStart w:id="6"/>
      <w:r>
        <w:t>The Contacts page includes an embedded Google Map. Once the map loads, your browser connects to Google; Google can process connection and browser information and use cookies or similar technologies according to the feature and your browser or Google account settings. This can occur without clicking inside the map. Lazy loading delays loading until needed by the page; it is not a consent choice.</w:t>
      </w:r>
      <w:commentRangeEnd w:id="6"/>
      <w:r>
        <w:rPr>
          <w:rStyle w:val="CommentReference"/>
        </w:rPr>
        <w:commentReference w:id="6"/>
      </w:r>
    </w:p>
    <w:p>
      <w:pPr>
        <w:pStyle w:val="Heading2"/>
        <w:pageBreakBefore w:val="0"/>
      </w:pPr>
      <w:r>
        <w:t>Google Fonts</w:t>
      </w:r>
    </w:p>
    <w:p>
      <w:r>
        <w:t>The Website uses externally hosted Google Fonts. Fetching font resources connects your browser to Google and can disclose your IP address and request information. A font request is not itself a cookie. Its privacy treatment is separate from the Website preference cookies.</w:t>
      </w:r>
    </w:p>
    <w:p>
      <w:r>
        <w:t>The rules for consent or an applicable exception depend on what each technology does and the law governing the relevant use. A service is not automatically exempt from privacy or device-access rules merely because it does not use cookies.</w:t>
      </w:r>
    </w:p>
    <w:p>
      <w:pPr>
        <w:pStyle w:val="Heading1"/>
        <w:pageBreakBefore w:val="0"/>
      </w:pPr>
      <w:r>
        <w:t>5 Personal data and provider information</w:t>
      </w:r>
    </w:p>
    <w:p>
      <w:r>
        <w:t>Cookies, storage and provider requests can involve personal data, such as online identifiers, IP addresses or browser information. The Privacy Policy explains purposes, grounds for processing, recipients, international transfers, retention and your rights. Google and Cloudflare use international infrastructure, so relevant processing can take place outside the UAE. Provider notices supplement our own responsibilities.</w:t>
      </w:r>
    </w:p>
    <w:p>
      <w:pPr>
        <w:spacing w:after="60"/>
      </w:pPr>
      <w:hyperlink r:id="rId12">
        <w:r>
          <w:rPr>
            <w:color w:val="000000"/>
            <w:u w:val="single"/>
          </w:rPr>
          <w:t>Cloudflare privacy information</w:t>
        </w:r>
      </w:hyperlink>
    </w:p>
    <w:p>
      <w:pPr>
        <w:spacing w:after="60"/>
      </w:pPr>
      <w:hyperlink r:id="rId13">
        <w:r>
          <w:rPr>
            <w:color w:val="000000"/>
            <w:u w:val="single"/>
          </w:rPr>
          <w:t>Cloudflare RUM information</w:t>
        </w:r>
      </w:hyperlink>
    </w:p>
    <w:p>
      <w:pPr>
        <w:spacing w:after="60"/>
      </w:pPr>
      <w:hyperlink r:id="rId14">
        <w:r>
          <w:rPr>
            <w:color w:val="000000"/>
            <w:u w:val="single"/>
          </w:rPr>
          <w:t>Google privacy information</w:t>
        </w:r>
      </w:hyperlink>
    </w:p>
    <w:p>
      <w:pPr>
        <w:spacing w:after="60"/>
      </w:pPr>
      <w:hyperlink r:id="rId15">
        <w:r>
          <w:rPr>
            <w:color w:val="000000"/>
            <w:u w:val="single"/>
          </w:rPr>
          <w:t>Google cookie information</w:t>
        </w:r>
      </w:hyperlink>
    </w:p>
    <w:p>
      <w:pPr>
        <w:spacing w:after="60"/>
      </w:pPr>
      <w:hyperlink r:id="rId16">
        <w:r>
          <w:rPr>
            <w:color w:val="000000"/>
            <w:u w:val="single"/>
          </w:rPr>
          <w:t>Google Fonts privacy information</w:t>
        </w:r>
      </w:hyperlink>
    </w:p>
    <w:p>
      <w:pPr>
        <w:pStyle w:val="Heading1"/>
        <w:pageBreakBefore/>
      </w:pPr>
      <w:r>
        <w:t>6 Your choices and consent</w:t>
      </w:r>
    </w:p>
    <w:p>
      <w:commentRangeStart w:id="7"/>
      <w:r>
        <w:t xml:space="preserve">Where applicable law requires consent for storage, access to device information or related personal data processing, the relevant activity must remain inactive until you give valid consent for that purpose. Consent must be freely given, informed, specific to the purpose and indicated by a positive action. Visiting the Website, scrolling, silence or reading this Policy does not give that consent. Technical necessity or another exception applies only when its legal conditions are met.</w:t>
      </w:r>
      <w:commentRangeEnd w:id="7"/>
      <w:r>
        <w:rPr>
          <w:rStyle w:val="CommentReference"/>
        </w:rPr>
        <w:commentReference w:id="7"/>
      </w:r>
    </w:p>
    <w:p>
      <w:commentRangeStart w:id="8"/>
      <w:r>
        <w:t xml:space="preserve">Instructions for allowing or refusing optional purposes, withdrawing consent or objecting where applicable law gives that right: [Website privacy controls and how to reopen them].</w:t>
      </w:r>
      <w:commentRangeEnd w:id="8"/>
      <w:r>
        <w:rPr>
          <w:rStyle w:val="CommentReference"/>
        </w:rPr>
        <w:commentReference w:id="8"/>
      </w:r>
    </w:p>
    <w:p>
      <w:r>
        <w:t>You can refuse a consent-dependent optional purpose without losing the ability to contact us by email. A disabled feature may be unavailable, while deleting preference cookies can reset language or appearance. Blocking browser storage can interfere with reload recovery. Restricting external requests can affect map display or fonts.</w:t>
      </w:r>
    </w:p>
    <w:p>
      <w:commentRangeStart w:id="10"/>
      <w:r>
        <w:t xml:space="preserve">For purposes requiring consent, refusal must be as easy as acceptance, and withdrawal must be as easy as giving consent. You can withdraw at any time. Withdrawal means that further consent-dependent storage, device access and related processing for that purpose must stop. It does not make earlier lawful processing unlawful. Deleting cookies does not itself erase information already sent to a provider. Continued retention and any required erasure must comply with applicable law and the Privacy Policy.</w:t>
      </w:r>
      <w:commentRangeEnd w:id="10"/>
      <w:r>
        <w:rPr>
          <w:rStyle w:val="CommentReference"/>
        </w:rPr>
        <w:commentReference w:id="10"/>
      </w:r>
    </w:p>
    <w:p>
      <w:pPr>
        <w:pStyle w:val="Heading1"/>
        <w:pageBreakBefore w:val="0"/>
      </w:pPr>
      <w:r>
        <w:t>7 Browser and provider controls</w:t>
      </w:r>
    </w:p>
    <w:p>
      <w:r>
        <w:t>Most browsers let you view or delete cookies and other site data, restrict cookies from third parties, and manage permissions. Available settings vary by browser. Use its privacy or site-data settings for cybrex.technology and for relevant provider domains. Blocking third-party cookies does not necessarily block scripts, embedded content or network requests.</w:t>
      </w:r>
    </w:p>
    <w:p>
      <w:r>
        <w:t>Browser controls are additional tools; they do not replace a Website consent or objection mechanism where one is required. Google account privacy settings can also affect Google services, but do not replace your choices on this Website. If controls are unavailable or appear not to work, contact us.</w:t>
      </w:r>
    </w:p>
    <w:p>
      <w:pPr>
        <w:pStyle w:val="Heading1"/>
        <w:pageBreakBefore w:val="0"/>
      </w:pPr>
      <w:r>
        <w:t>8 Updates and contact</w:t>
      </w:r>
    </w:p>
    <w:p>
      <w:r>
        <w:t>We may update this Policy when technologies, providers or applicable requirements change. The revised version will show its update date. Where a new purpose requires consent or another choice, publishing an update does not replace obtaining that choice.</w:t>
      </w:r>
    </w:p>
    <w:p>
      <w:r>
        <w:t xml:space="preserve">For questions about cookies, browser storage or your choices, email </w:t>
      </w:r>
      <w:hyperlink r:id="rId10">
        <w:r>
          <w:rPr>
            <w:color w:val="000000"/>
            <w:u w:val="single"/>
          </w:rPr>
          <w:t>cybrex.technology@gmail.com</w:t>
        </w:r>
      </w:hyperlink>
      <w:r>
        <w:t>.</w:t>
      </w:r>
    </w:p>
    <w:sectPr w:rsidR="00FC693F" w:rsidRPr="0006063C" w:rsidSect="00034616">
      <w:footerReference w:type="default" r:id="rId17"/>
      <w:pgSz w:w="12240" w:h="15840"/>
      <w:pgMar w:top="1037" w:right="1152" w:bottom="979" w:left="1152" w:header="720" w:footer="36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CYBREX" w:initials="CY" w:date="2026-10-05T23:14:56Z">
    <w:p>
      <w:pPr>
        <w:pStyle w:val="CommentText"/>
      </w:pPr>
      <w:r>
        <w:rPr>
          <w:rStyle w:val="CommentReference"/>
        </w:rPr>
        <w:annotationRef/>
      </w:r>
      <w:r>
        <w:t>До публикации заполнить два поля действительным именем или наименованием оператора и его адресом. Данные должны совпадать с Privacy Policy и Terms of Use. Бренд и будущая LLC не заменяют существующего оператора; личное имя не подставлено автоматически.</w:t>
      </w:r>
    </w:p>
  </w:comment>
  <w:comment w:id="1" w:author="CYBREX" w:initials="CY" w:date="2026-10-05T23:14:56Z">
    <w:p>
      <w:pPr>
        <w:pStyle w:val="CommentText"/>
      </w:pPr>
      <w:r>
        <w:rPr>
          <w:rStyle w:val="CommentReference"/>
        </w:rPr>
        <w:annotationRef/>
      </w:r>
      <w:r>
        <w:t>Таблица опирается на сохранённые HTML и JS сайта. Перед публикацией проверить текущий deployment в чистом профиле браузера, в том числе смену языка и темы, перезагрузку, ошибки загрузки и оба варианта выбора. Для i18n_locale в коде expires = дата установки + 365 дней; для theme maxAge = 31 536 000 секунд. Не заявлять фактические атрибуты path/domain/secure theme без проверки: функция cookie API импортируется из отсутствующего файла.</w:t>
      </w:r>
    </w:p>
  </w:comment>
  <w:comment w:id="2" w:author="CYBREX" w:initials="CY" w:date="2026-10-05T23:14:56Z">
    <w:p>
      <w:pPr>
        <w:pStyle w:val="CommentText"/>
      </w:pPr>
      <w:r>
        <w:rPr>
          <w:rStyle w:val="CommentReference"/>
        </w:rPr>
        <w:annotationRef/>
      </w:r>
      <w:r>
        <w:t xml:space="preserve">Уточнены область хранения и состав состояния: sessionStorage разделён по origin и вкладке, а nuxt:reload:state хранит снимок Nuxt payload.state при включённом persistState. Это не вся страница и не полный пользовательский сеанс. nuxt:reload содержит логическую метку expires, по умолчанию 10 секунд в сохранённом коде; она не означает удаления записи через 10 секунд. Проверить реальные значения и триггеры, включая возможные данные форм. Справка: https://developer.mozilla.org/en-US/docs/Web/API/Window/sessionStorage</w:t>
      </w:r>
    </w:p>
  </w:comment>
  <w:comment w:id="3" w:author="CYBREX" w:initials="CY" w:date="2026-10-05T23:14:56Z">
    <w:p>
      <w:pPr>
        <w:pStyle w:val="CommentText"/>
      </w:pPr>
      <w:r>
        <w:rPr>
          <w:rStyle w:val="CommentReference"/>
        </w:rPr>
        <w:annotationRef/>
      </w:r>
      <w:r>
        <w:t>Перед публикацией заменить поле проверенным полным inventory либо подтвердить отсутствие дополнительных items. Для каждого фактически обнаруженного элемента указать имя, provider/домен, цель, тип и срок, момент запуска и способ управления. Проверить initial load, язык, тему, формы, калькулятор, Maps и Cloudflare security, signed-in/out Google и разрешённые/отклонённые choices. Не добавлять _ga, NID, cf_clearance или __cf_bm как факты без runtime-проверки. Полный cookie jar и HTTP headers не были предоставлены.</w:t>
      </w:r>
    </w:p>
  </w:comment>
  <w:comment w:id="4" w:author="CYBREX" w:initials="CY" w:date="2026-10-05T23:14:56Z">
    <w:p>
      <w:pPr>
        <w:pStyle w:val="CommentText"/>
      </w:pPr>
      <w:r>
        <w:rPr>
          <w:rStyle w:val="CommentReference"/>
        </w:rPr>
        <w:annotationRef/>
      </w:r>
      <w:r>
        <w:t>Проверить действующую конфигурацию Cloudflare RUM, включая региональные исключения, данные и сроки обработки. Сохранённые страницы содержат beacon, но не captured network payload. Не объявлять сервис автоматически освобождённым от всех consent/device-access требований только из-за отсутствия cookies. Официальный источник: https://developers.cloudflare.com/speed/observatory/rum-beacon/</w:t>
      </w:r>
    </w:p>
  </w:comment>
  <w:comment w:id="5" w:author="CYBREX" w:initials="CY" w:date="2026-10-05T23:14:56Z">
    <w:p>
      <w:pPr>
        <w:pStyle w:val="CommentText"/>
      </w:pPr>
      <w:r>
        <w:rPr>
          <w:rStyle w:val="CommentReference"/>
        </w:rPr>
        <w:annotationRef/>
      </w:r>
      <w:r>
        <w:t xml:space="preserve">Удалено неподтверждённое утверждение, что имена и сроки security cookies уже внесены в inventory раздела 3. В сохранённых iframe обнаружен /cdn-cgi/challenge-platform/scripts/jsd/main.js, но полная фактическая выдача cookies не проверена. Cloudflare описывает cf_clearance в документации; проверить имя, срок и настройки на действующем сайте перед заполнением inventory. 15 минут жизни JavaScript Detections не равны автоматически expiry всех security cookies. Источник: https://developers.cloudflare.com/cloudflare-challenges/challenge-types/javascript-detections/</w:t>
      </w:r>
    </w:p>
  </w:comment>
  <w:comment w:id="6" w:author="CYBREX" w:initials="CY" w:date="2026-10-05T23:14:56Z">
    <w:p>
      <w:pPr>
        <w:pStyle w:val="CommentText"/>
      </w:pPr>
      <w:r>
        <w:rPr>
          <w:rStyle w:val="CommentReference"/>
        </w:rPr>
        <w:annotationRef/>
      </w:r>
      <w:r>
        <w:t>Maps iframe в архиве имеет loading=lazy. Это не подтверждает consent blocking. Проверить до и после отказа/разрешения iframe, scripts, cookies и запросы. Если требуется consent, до выбора не загружать iframe и относящиеся к нему запросы; при необходимости предложить статическое описание адреса или обычную внешнюю ссылку. Не утверждать, что такое управление уже реализовано.</w:t>
      </w:r>
    </w:p>
  </w:comment>
  <w:comment w:id="7" w:author="CYBREX" w:initials="CY" w:date="2026-10-05T23:14:56Z">
    <w:p>
      <w:pPr>
        <w:pStyle w:val="CommentText"/>
      </w:pPr>
      <w:r>
        <w:rPr>
          <w:rStyle w:val="CommentReference"/>
        </w:rPr>
        <w:annotationRef/>
      </w:r>
      <w:r>
        <w:t>Не выдавать UAE PDPL за идентичный EEA/UK cookie regime. UAE consent и законные исключения оцениваются по Federal Decree-Law No. 45 of 2021, Articles 4 and 6: https://uaelegislation.gov.ae/en/legislations/1972/download . При применимости EEA учитывать ePrivacy Art. 5(3) и национальные нормы. UK guidance ICO от 29 April 2026 предусматривает 5 exceptions; statistical purposes и appearance требуют clear info и simple free objection. Нельзя объявить preference cookies или analytics всегда strictly necessary. Источник: https://ico.org.uk/for-organisations/direct-marketing-and-privacy-and-electronic-communications/guidance-on-the-use-of-storage-and-access-technologies/what-are-the-exceptions/</w:t>
      </w:r>
    </w:p>
  </w:comment>
  <w:comment w:id="8" w:author="CYBREX" w:initials="CY" w:date="2026-10-05T23:14:56Z">
    <w:p>
      <w:pPr>
        <w:pStyle w:val="CommentText"/>
      </w:pPr>
      <w:r>
        <w:rPr>
          <w:rStyle w:val="CommentReference"/>
        </w:rPr>
        <w:annotationRef/>
      </w:r>
      <w:r>
        <w:t xml:space="preserve">Перед публикацией заполнить поле действующими инструкциями: название и расположение controls, действия для разрешения, отказа, возражения и отзыва. Наличие этих controls не подтверждено сохранёнными страницами. Проверить выбор по целям, одинаковую простоту разрешения и отказа, простой отзыв и бесплатное возражение там, где это условие исключения. Проверить блокирование до согласия и прекращение дальнейшего использования после отзыва. Текст политики не реализует механизм управления. Footer Cookie/Privacy/Terms в сохранённом HTML ведут на главную; добавить рабочие ссылки. Источник: https://ico.org.uk/for-organisations/direct-marketing-and-privacy-and-electronic-communications/guidance-on-the-use-of-storage-and-access-technologies/how-do-we-manage-consent-in-practice/</w:t>
      </w:r>
    </w:p>
  </w:comment>
  <w:comment w:id="9" w:author="CYBREX" w:initials="CY" w:date="2026-10-06T01:09:07Z">
    <w:p>
      <w:pPr>
        <w:pStyle w:val="CommentText"/>
      </w:pPr>
      <w:r>
        <w:rPr>
          <w:rStyle w:val="CommentReference"/>
        </w:rPr>
        <w:annotationRef/>
      </w:r>
      <w:r>
        <w:t>Определение уточнено через сайт и контекст использования, а не только домен. Другой поддомен не обязательно означает третью сторону; внешний поставщик может обслуживать first-party cookie.</w:t>
      </w:r>
    </w:p>
  </w:comment>
  <w:comment w:id="10" w:author="CYBREX" w:initials="CY" w:date="2026-10-06T01:09:07Z">
    <w:p>
      <w:pPr>
        <w:pStyle w:val="CommentText"/>
      </w:pPr>
      <w:r>
        <w:rPr>
          <w:rStyle w:val="CommentReference"/>
        </w:rPr>
        <w:annotationRef/>
      </w:r>
      <w:r>
        <w:t>Добавлено прямое последствие отзыва: дальнейшее использование, зависящее от согласия, должно прекратиться. Реализацию необходимо проверить отдельно. Удаление cookies в браузере не гарантирует удаления данных у поставщика; обязанности по сохранению и удалению определяются применимым правом. Источник: https://ico.org.uk/for-organisations/direct-marketing-and-privacy-and-electronic-communications/guidance-on-the-use-of-storage-and-access-technologies/how-do-we-manage-consent-in-practice/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sz w:val="18"/>
      </w:rPr>
      <w:t xml:space="preserve">CYBREX Cookie Policy    Page </w:t>
    </w:r>
    <w:fldSimple w:instr="PAGE">
      <w:r>
        <w:rPr>
          <w:sz w:val="18"/>
        </w:rPr>
        <w:t>1</w:t>
      </w:r>
    </w:fldSimple>
    <w:r>
      <w:rPr>
        <w:sz w:val="18"/>
      </w:rPr>
      <w:t xml:space="preserve"> of </w:t>
    </w:r>
    <w:fldSimple w:instr="NUMPAGES">
      <w:r>
        <w:rPr>
          <w:sz w:val="18"/>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100"/>
    </w:pPr>
    <w:rPr>
      <w:rFonts w:ascii="Arial" w:hAnsi="Arial"/>
      <w:i w:val="0"/>
      <w:color w:val="000000"/>
      <w:sz w:val="22"/>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00" w:line="240" w:lineRule="auto"/>
      <w:outlineLvl w:val="0"/>
    </w:pPr>
    <w:rPr>
      <w:rFonts w:asciiTheme="majorHAnsi" w:eastAsiaTheme="majorEastAsia" w:hAnsiTheme="majorHAnsi" w:cstheme="majorBidi" w:ascii="Arial" w:hAnsi="Arial"/>
      <w:b/>
      <w:bCs/>
      <w:i w:val="0"/>
      <w:color w:val="000000"/>
      <w:sz w:val="26"/>
      <w:szCs w:val="28"/>
      <w:u w:val="none"/>
    </w:rPr>
  </w:style>
  <w:style w:type="paragraph" w:styleId="Heading2">
    <w:name w:val="heading 2"/>
    <w:basedOn w:val="Normal"/>
    <w:next w:val="Normal"/>
    <w:link w:val="Heading2Char"/>
    <w:uiPriority w:val="9"/>
    <w:unhideWhenUsed/>
    <w:qFormat/>
    <w:rsid w:val="00FC693F"/>
    <w:pPr>
      <w:keepNext/>
      <w:keepLines/>
      <w:widowControl/>
      <w:spacing w:before="200" w:after="100" w:line="240" w:lineRule="auto"/>
      <w:outlineLvl w:val="1"/>
    </w:pPr>
    <w:rPr>
      <w:rFonts w:asciiTheme="majorHAnsi" w:eastAsiaTheme="majorEastAsia" w:hAnsiTheme="majorHAnsi" w:cstheme="majorBidi" w:ascii="Arial" w:hAnsi="Arial"/>
      <w:b/>
      <w:bCs/>
      <w:i w:val="0"/>
      <w:color w:val="000000"/>
      <w:sz w:val="22"/>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40" w:lineRule="auto"/>
      <w:contextualSpacing/>
    </w:pPr>
    <w:rPr>
      <w:rFonts w:asciiTheme="majorHAnsi" w:eastAsiaTheme="majorEastAsia" w:hAnsiTheme="majorHAnsi" w:cstheme="majorBidi" w:ascii="Arial" w:hAnsi="Arial"/>
      <w:b/>
      <w:i w:val="0"/>
      <w:color w:val="000000"/>
      <w:spacing w:val="5"/>
      <w:kern w:val="28"/>
      <w:sz w:val="50"/>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40" w:lineRule="auto" w:after="260"/>
    </w:pPr>
    <w:rPr>
      <w:rFonts w:asciiTheme="majorHAnsi" w:eastAsiaTheme="majorEastAsia" w:hAnsiTheme="majorHAnsi" w:cstheme="majorBidi" w:ascii="Arial" w:hAnsi="Arial"/>
      <w:i w:val="0"/>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ybrex.technology/" TargetMode="External"/><Relationship Id="rId10" Type="http://schemas.openxmlformats.org/officeDocument/2006/relationships/hyperlink" Target="mailto:cybrex.technology@gmail.com" TargetMode="External"/><Relationship Id="rId11" Type="http://schemas.openxmlformats.org/officeDocument/2006/relationships/comments" Target="comments.xml"/><Relationship Id="rId12" Type="http://schemas.openxmlformats.org/officeDocument/2006/relationships/hyperlink" Target="https://www.cloudflare.com/privacypolicy/" TargetMode="External"/><Relationship Id="rId13" Type="http://schemas.openxmlformats.org/officeDocument/2006/relationships/hyperlink" Target="https://developers.cloudflare.com/speed/observatory/rum-beacon/" TargetMode="External"/><Relationship Id="rId14" Type="http://schemas.openxmlformats.org/officeDocument/2006/relationships/hyperlink" Target="https://policies.google.com/privacy" TargetMode="External"/><Relationship Id="rId15" Type="http://schemas.openxmlformats.org/officeDocument/2006/relationships/hyperlink" Target="https://policies.google.com/technologies/cookies" TargetMode="External"/><Relationship Id="rId16" Type="http://schemas.openxmlformats.org/officeDocument/2006/relationships/hyperlink" Target="https://fonts.googleblog.com/2022/11/your-privacy-and-google-fonts.html" TargetMode="Externa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CYBREX Cookie Policy</dc:title>
  <dc:subject>Cookies browser storage and external services on cybrex.technology</dc:subject>
  <dc:creator>CYBREX</dc:creator>
  <cp:keywords/>
  <dc:description>generated by python-docx</dc:description>
  <cp:lastModifiedBy>CYBREX</cp:lastModifiedBy>
  <cp:revision>2</cp:revision>
  <dcterms:created xsi:type="dcterms:W3CDTF">2026-10-05T23:14:56Z</dcterms:created>
  <dcterms:modified xsi:type="dcterms:W3CDTF">2026-10-06T01:09:07Z</dcterms:modified>
  <cp:category/>
</cp:coreProperties>
</file>